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155" w:rsidRPr="00D06155" w:rsidRDefault="00D06155" w:rsidP="00D06155">
      <w:pPr>
        <w:pStyle w:val="Pa2"/>
        <w:jc w:val="center"/>
        <w:rPr>
          <w:rStyle w:val="A21"/>
          <w:rFonts w:ascii="Times New Roman" w:hAnsi="Times New Roman"/>
          <w:sz w:val="24"/>
          <w:szCs w:val="24"/>
        </w:rPr>
      </w:pPr>
      <w:r w:rsidRPr="00D06155">
        <w:rPr>
          <w:rStyle w:val="A21"/>
          <w:rFonts w:ascii="Times New Roman" w:hAnsi="Times New Roman"/>
          <w:sz w:val="24"/>
          <w:szCs w:val="24"/>
        </w:rPr>
        <w:t>41 Key Strategies Identified by Research</w:t>
      </w:r>
    </w:p>
    <w:p w:rsidR="00D06155" w:rsidRPr="00D06155" w:rsidRDefault="00D06155" w:rsidP="00D06155">
      <w:pPr>
        <w:pStyle w:val="Pa2"/>
        <w:jc w:val="center"/>
        <w:rPr>
          <w:rFonts w:ascii="Times New Roman" w:hAnsi="Times New Roman" w:cs="Myriad Pro"/>
          <w:color w:val="000000"/>
        </w:rPr>
      </w:pPr>
      <w:proofErr w:type="gramStart"/>
      <w:r w:rsidRPr="00D06155">
        <w:rPr>
          <w:rStyle w:val="A21"/>
          <w:rFonts w:ascii="Times New Roman" w:hAnsi="Times New Roman"/>
          <w:sz w:val="24"/>
          <w:szCs w:val="24"/>
        </w:rPr>
        <w:t>for</w:t>
      </w:r>
      <w:proofErr w:type="gramEnd"/>
      <w:r w:rsidRPr="00D06155">
        <w:rPr>
          <w:rStyle w:val="A21"/>
          <w:rFonts w:ascii="Times New Roman" w:hAnsi="Times New Roman"/>
          <w:sz w:val="24"/>
          <w:szCs w:val="24"/>
        </w:rPr>
        <w:t xml:space="preserve"> Effective Teaching</w:t>
      </w:r>
    </w:p>
    <w:p w:rsidR="00D06155" w:rsidRPr="00D06155" w:rsidRDefault="00D06155" w:rsidP="00D06155">
      <w:pPr>
        <w:pStyle w:val="Pa2"/>
        <w:jc w:val="center"/>
        <w:rPr>
          <w:rFonts w:ascii="Times New Roman" w:hAnsi="Times New Roman" w:cs="Myriad Pro"/>
          <w:i/>
          <w:iCs/>
          <w:color w:val="000000"/>
        </w:rPr>
      </w:pPr>
      <w:r w:rsidRPr="00D06155">
        <w:rPr>
          <w:rFonts w:ascii="Times New Roman" w:hAnsi="Times New Roman" w:cs="Myriad Pro"/>
          <w:i/>
          <w:iCs/>
          <w:color w:val="000000"/>
        </w:rPr>
        <w:t xml:space="preserve">Dr. Robert </w:t>
      </w:r>
      <w:proofErr w:type="spellStart"/>
      <w:r w:rsidRPr="00D06155">
        <w:rPr>
          <w:rFonts w:ascii="Times New Roman" w:hAnsi="Times New Roman" w:cs="Myriad Pro"/>
          <w:i/>
          <w:iCs/>
          <w:color w:val="000000"/>
        </w:rPr>
        <w:t>Marzano</w:t>
      </w:r>
      <w:proofErr w:type="spellEnd"/>
    </w:p>
    <w:p w:rsidR="00D06155" w:rsidRPr="00D06155" w:rsidRDefault="00D06155" w:rsidP="00D06155"/>
    <w:p w:rsidR="000829D6" w:rsidRDefault="000829D6" w:rsidP="00D06155">
      <w:pPr>
        <w:jc w:val="center"/>
      </w:pPr>
    </w:p>
    <w:p w:rsidR="00D06155" w:rsidRPr="00D06155" w:rsidRDefault="00D06155">
      <w:pPr>
        <w:rPr>
          <w:i/>
        </w:rPr>
      </w:pPr>
      <w:r>
        <w:t xml:space="preserve">Comparing </w:t>
      </w:r>
      <w:proofErr w:type="spellStart"/>
      <w:r>
        <w:t>Stiggins</w:t>
      </w:r>
      <w:proofErr w:type="spellEnd"/>
      <w:r>
        <w:t xml:space="preserve"> </w:t>
      </w:r>
      <w:r w:rsidRPr="00D06155">
        <w:rPr>
          <w:i/>
        </w:rPr>
        <w:t>Assessment FOR Learning</w:t>
      </w:r>
      <w:r>
        <w:t xml:space="preserve"> and Wiggins &amp; </w:t>
      </w:r>
      <w:proofErr w:type="spellStart"/>
      <w:r>
        <w:t>McTighe</w:t>
      </w:r>
      <w:proofErr w:type="spellEnd"/>
      <w:r>
        <w:t xml:space="preserve"> </w:t>
      </w:r>
      <w:r w:rsidRPr="00D06155">
        <w:rPr>
          <w:i/>
        </w:rPr>
        <w:t>Understanding by Design</w:t>
      </w:r>
    </w:p>
    <w:p w:rsidR="006242B6" w:rsidRPr="00D06155" w:rsidRDefault="006242B6">
      <w:pPr>
        <w:rPr>
          <w:sz w:val="16"/>
          <w:szCs w:val="16"/>
        </w:rPr>
      </w:pPr>
    </w:p>
    <w:tbl>
      <w:tblPr>
        <w:tblStyle w:val="TableGrid"/>
        <w:tblW w:w="0" w:type="auto"/>
        <w:tblLook w:val="01E0"/>
      </w:tblPr>
      <w:tblGrid>
        <w:gridCol w:w="7668"/>
        <w:gridCol w:w="960"/>
        <w:gridCol w:w="948"/>
      </w:tblGrid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6242B6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 w:rsidP="006242B6">
            <w:pPr>
              <w:jc w:val="center"/>
            </w:pPr>
            <w:r>
              <w:t>Assess.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 w:rsidP="006242B6">
            <w:pPr>
              <w:jc w:val="center"/>
            </w:pPr>
            <w:proofErr w:type="spellStart"/>
            <w:r>
              <w:t>UbD</w:t>
            </w:r>
            <w:proofErr w:type="spellEnd"/>
          </w:p>
        </w:tc>
      </w:tr>
      <w:tr w:rsidR="006242B6">
        <w:tc>
          <w:tcPr>
            <w:tcW w:w="9576" w:type="dxa"/>
            <w:gridSpan w:val="3"/>
            <w:shd w:val="clear" w:color="auto" w:fill="D9D9D9"/>
          </w:tcPr>
          <w:p w:rsidR="006242B6" w:rsidRPr="00D06155" w:rsidRDefault="006242B6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t xml:space="preserve">What will I do to establish and communicate learning goals, track student progress, and celebrate success? </w:t>
            </w:r>
          </w:p>
        </w:tc>
      </w:tr>
      <w:tr w:rsidR="006242B6">
        <w:tc>
          <w:tcPr>
            <w:tcW w:w="7668" w:type="dxa"/>
          </w:tcPr>
          <w:p w:rsidR="006242B6" w:rsidRPr="00D06155" w:rsidRDefault="006242B6" w:rsidP="006242B6">
            <w:pPr>
              <w:rPr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1) Providing Clear Learning Goals and Scales (Rubrics)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 w:rsidP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2) Tracking Student Progress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3) Celebrating Success 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/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/>
        </w:tc>
      </w:tr>
      <w:tr w:rsidR="006242B6">
        <w:tc>
          <w:tcPr>
            <w:tcW w:w="9576" w:type="dxa"/>
            <w:gridSpan w:val="3"/>
            <w:shd w:val="clear" w:color="auto" w:fill="D9D9D9"/>
          </w:tcPr>
          <w:p w:rsidR="006242B6" w:rsidRPr="00D06155" w:rsidRDefault="006242B6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t xml:space="preserve">What will I do to establish and maintain classroom rules and procedures? </w:t>
            </w:r>
          </w:p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4) Establishing Classroom Routines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5) Organizing the Physical Layout of the Classroom 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/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/>
        </w:tc>
      </w:tr>
      <w:tr w:rsidR="006242B6">
        <w:tc>
          <w:tcPr>
            <w:tcW w:w="9576" w:type="dxa"/>
            <w:gridSpan w:val="3"/>
            <w:shd w:val="clear" w:color="auto" w:fill="D9D9D9"/>
          </w:tcPr>
          <w:p w:rsidR="006242B6" w:rsidRPr="00D06155" w:rsidRDefault="006242B6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t xml:space="preserve">What will I do to help students actively interact with the new knowledge? </w:t>
            </w:r>
          </w:p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6) Identifying Critical Information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7) Organizing Students to Interact with New Knowledge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8) Previewing New Content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9) Chunking Content into “Digestible Bites”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10) Processing New Information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11) Elaborating on New Information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12) Recording and Representing Knowledge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6242B6">
            <w:pPr>
              <w:rPr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>13) Reflecting on learning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/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/>
        </w:tc>
      </w:tr>
      <w:tr w:rsidR="006242B6">
        <w:tc>
          <w:tcPr>
            <w:tcW w:w="9576" w:type="dxa"/>
            <w:gridSpan w:val="3"/>
            <w:shd w:val="clear" w:color="auto" w:fill="D9D9D9"/>
          </w:tcPr>
          <w:p w:rsidR="006242B6" w:rsidRPr="00D06155" w:rsidRDefault="006242B6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t xml:space="preserve">What will I do to help students practice and deepen their understanding of new knowledge? </w:t>
            </w:r>
          </w:p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14) Reviewing Content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15) Organizing Students to Practice and Deepen Knowledge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16) Using Homework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17) Examining Similarities and Differences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18) Examining Errors in Reasoning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19) Practicing Skills, Strategies, and Processes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6242B6">
            <w:pPr>
              <w:rPr>
                <w:rFonts w:cs="Myriad Pro"/>
                <w:color w:val="000000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20) Revising Knowledge 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/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/>
        </w:tc>
      </w:tr>
      <w:tr w:rsidR="006242B6">
        <w:tc>
          <w:tcPr>
            <w:tcW w:w="9576" w:type="dxa"/>
            <w:gridSpan w:val="3"/>
            <w:shd w:val="clear" w:color="auto" w:fill="D9D9D9"/>
          </w:tcPr>
          <w:p w:rsidR="006242B6" w:rsidRPr="00D06155" w:rsidRDefault="006242B6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t xml:space="preserve">What will I do to help students generate and test hypotheses about new knowledge? </w:t>
            </w:r>
          </w:p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21) Organizing Students for Complex Tasks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22) Engaging Students in Cognitively Complex Tasks Involving Hypothesis Generation and Testing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23) Providing Resources and Guidance 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/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/>
        </w:tc>
      </w:tr>
      <w:tr w:rsidR="006242B6">
        <w:tc>
          <w:tcPr>
            <w:tcW w:w="9576" w:type="dxa"/>
            <w:gridSpan w:val="3"/>
            <w:shd w:val="clear" w:color="auto" w:fill="D9D9D9"/>
          </w:tcPr>
          <w:p w:rsidR="006242B6" w:rsidRPr="00D06155" w:rsidRDefault="006242B6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t xml:space="preserve">What will I do to engage students? </w:t>
            </w:r>
          </w:p>
        </w:tc>
      </w:tr>
      <w:tr w:rsidR="006242B6">
        <w:tc>
          <w:tcPr>
            <w:tcW w:w="7668" w:type="dxa"/>
          </w:tcPr>
          <w:p w:rsidR="006242B6" w:rsidRPr="00D06155" w:rsidRDefault="006242B6" w:rsidP="007B552A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24) Noticing when Students are Not Engaged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 w:rsidP="007B552A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25) Using Academic Games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26) Managing Response Rates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27) Using Physical Movement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28) Maintaining a Lively Pace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29) Demonstrating Intensity and Enthusiasm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30) Using Friendly Controversy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31) Providing Opportunities for Students to Talk about Themselves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32) Presenting Unusual or Intriguing Information 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/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/>
        </w:tc>
      </w:tr>
      <w:tr w:rsidR="00D06155">
        <w:tc>
          <w:tcPr>
            <w:tcW w:w="9576" w:type="dxa"/>
            <w:gridSpan w:val="3"/>
            <w:shd w:val="clear" w:color="auto" w:fill="D9D9D9"/>
          </w:tcPr>
          <w:p w:rsidR="00D06155" w:rsidRPr="00D06155" w:rsidRDefault="00D06155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lastRenderedPageBreak/>
              <w:t xml:space="preserve">What will I do to recognize and acknowledge adherence and lack of adherence to rules and procedures? </w:t>
            </w:r>
          </w:p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>33) Demonstrating “</w:t>
            </w:r>
            <w:proofErr w:type="spellStart"/>
            <w:r w:rsidRPr="00D06155">
              <w:rPr>
                <w:rStyle w:val="A4"/>
                <w:sz w:val="22"/>
                <w:szCs w:val="22"/>
              </w:rPr>
              <w:t>Withitness</w:t>
            </w:r>
            <w:proofErr w:type="spellEnd"/>
            <w:r w:rsidRPr="00D06155">
              <w:rPr>
                <w:rStyle w:val="A4"/>
                <w:sz w:val="22"/>
                <w:szCs w:val="22"/>
              </w:rPr>
              <w:t xml:space="preserve">”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6242B6">
            <w:pPr>
              <w:rPr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>34) Applying Consequences for Lack of Adherence to Rules and Procedures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D06155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35) Acknowledges Adherence to Rules and Procedures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D06155">
        <w:tc>
          <w:tcPr>
            <w:tcW w:w="9576" w:type="dxa"/>
            <w:gridSpan w:val="3"/>
          </w:tcPr>
          <w:p w:rsidR="00D06155" w:rsidRPr="00D06155" w:rsidRDefault="00D06155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  <w:shd w:val="clear" w:color="auto" w:fill="D9D9D9"/>
              </w:rPr>
              <w:t>What will I do to establish and maintain effective relationships with students?</w:t>
            </w:r>
            <w:r w:rsidRPr="00D0615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242B6">
        <w:tc>
          <w:tcPr>
            <w:tcW w:w="7668" w:type="dxa"/>
          </w:tcPr>
          <w:p w:rsidR="006242B6" w:rsidRPr="00D06155" w:rsidRDefault="00D06155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36) Understanding Students’ Interests and Background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D06155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37) Using Verbal and Nonverbal Behaviors that Indicate Affection for Students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  <w:tcBorders>
              <w:bottom w:val="single" w:sz="4" w:space="0" w:color="auto"/>
            </w:tcBorders>
          </w:tcPr>
          <w:p w:rsidR="006242B6" w:rsidRPr="00D06155" w:rsidRDefault="00D06155">
            <w:pPr>
              <w:rPr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>38) Displaying Objectivity and Control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6242B6" w:rsidRDefault="006242B6"/>
        </w:tc>
        <w:tc>
          <w:tcPr>
            <w:tcW w:w="948" w:type="dxa"/>
            <w:tcBorders>
              <w:bottom w:val="single" w:sz="4" w:space="0" w:color="auto"/>
            </w:tcBorders>
          </w:tcPr>
          <w:p w:rsidR="006242B6" w:rsidRDefault="006242B6"/>
        </w:tc>
      </w:tr>
      <w:tr w:rsidR="00D06155">
        <w:tc>
          <w:tcPr>
            <w:tcW w:w="9576" w:type="dxa"/>
            <w:gridSpan w:val="3"/>
            <w:shd w:val="clear" w:color="auto" w:fill="D9D9D9"/>
          </w:tcPr>
          <w:p w:rsidR="00D06155" w:rsidRPr="00D06155" w:rsidRDefault="00D06155">
            <w:pPr>
              <w:rPr>
                <w:b/>
                <w:sz w:val="22"/>
                <w:szCs w:val="22"/>
              </w:rPr>
            </w:pPr>
            <w:r w:rsidRPr="00D06155">
              <w:rPr>
                <w:b/>
                <w:sz w:val="22"/>
                <w:szCs w:val="22"/>
              </w:rPr>
              <w:t xml:space="preserve">What will I do to communicate high expectations for all students? </w:t>
            </w:r>
          </w:p>
        </w:tc>
      </w:tr>
      <w:tr w:rsidR="006242B6">
        <w:tc>
          <w:tcPr>
            <w:tcW w:w="7668" w:type="dxa"/>
          </w:tcPr>
          <w:p w:rsidR="006242B6" w:rsidRPr="00D06155" w:rsidRDefault="00D06155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39) Demonstrating Value and Respect for Low Expectancy Students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D06155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40) Asking Questions of Low Expectancy Students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  <w:tr w:rsidR="006242B6">
        <w:tc>
          <w:tcPr>
            <w:tcW w:w="7668" w:type="dxa"/>
          </w:tcPr>
          <w:p w:rsidR="006242B6" w:rsidRPr="00D06155" w:rsidRDefault="00D06155">
            <w:pPr>
              <w:rPr>
                <w:rFonts w:cs="Myriad Pro"/>
                <w:sz w:val="22"/>
                <w:szCs w:val="22"/>
              </w:rPr>
            </w:pPr>
            <w:r w:rsidRPr="00D06155">
              <w:rPr>
                <w:rStyle w:val="A4"/>
                <w:sz w:val="22"/>
                <w:szCs w:val="22"/>
              </w:rPr>
              <w:t xml:space="preserve">41) Probing Incorrect Answers by Low Expectancy Students </w:t>
            </w:r>
          </w:p>
        </w:tc>
        <w:tc>
          <w:tcPr>
            <w:tcW w:w="960" w:type="dxa"/>
          </w:tcPr>
          <w:p w:rsidR="006242B6" w:rsidRDefault="006242B6"/>
        </w:tc>
        <w:tc>
          <w:tcPr>
            <w:tcW w:w="948" w:type="dxa"/>
          </w:tcPr>
          <w:p w:rsidR="006242B6" w:rsidRDefault="006242B6"/>
        </w:tc>
      </w:tr>
    </w:tbl>
    <w:p w:rsidR="006242B6" w:rsidRDefault="006242B6"/>
    <w:p w:rsidR="00D06155" w:rsidRDefault="00D06155"/>
    <w:p w:rsidR="00D06155" w:rsidRPr="00D06155" w:rsidRDefault="00D06155" w:rsidP="00D06155">
      <w:r w:rsidRPr="00D06155">
        <w:rPr>
          <w:rStyle w:val="A5"/>
          <w:rFonts w:ascii="Times New Roman" w:hAnsi="Times New Roman"/>
        </w:rPr>
        <w:t xml:space="preserve">www.iObservation.com/MarzanoSuite </w:t>
      </w:r>
    </w:p>
    <w:p w:rsidR="00D06155" w:rsidRPr="00D06155" w:rsidRDefault="00D06155" w:rsidP="00D06155">
      <w:r w:rsidRPr="00D06155">
        <w:rPr>
          <w:rStyle w:val="A5"/>
          <w:rFonts w:ascii="Times New Roman" w:hAnsi="Times New Roman"/>
        </w:rPr>
        <w:t xml:space="preserve">Copyright Dr. Robert </w:t>
      </w:r>
      <w:proofErr w:type="spellStart"/>
      <w:r w:rsidRPr="00D06155">
        <w:rPr>
          <w:rStyle w:val="A5"/>
          <w:rFonts w:ascii="Times New Roman" w:hAnsi="Times New Roman"/>
        </w:rPr>
        <w:t>Marzano</w:t>
      </w:r>
      <w:proofErr w:type="spellEnd"/>
      <w:r w:rsidRPr="00D06155">
        <w:rPr>
          <w:rStyle w:val="A5"/>
          <w:rFonts w:ascii="Times New Roman" w:hAnsi="Times New Roman"/>
        </w:rPr>
        <w:t xml:space="preserve"> </w:t>
      </w:r>
    </w:p>
    <w:p w:rsidR="00D06155" w:rsidRPr="00D06155" w:rsidRDefault="00D06155" w:rsidP="00D06155">
      <w:proofErr w:type="spellStart"/>
      <w:proofErr w:type="gramStart"/>
      <w:r w:rsidRPr="00D06155">
        <w:rPr>
          <w:rStyle w:val="A5"/>
          <w:rFonts w:ascii="Times New Roman" w:hAnsi="Times New Roman"/>
        </w:rPr>
        <w:t>iObservation</w:t>
      </w:r>
      <w:proofErr w:type="spellEnd"/>
      <w:proofErr w:type="gramEnd"/>
      <w:r w:rsidRPr="00D06155">
        <w:rPr>
          <w:rStyle w:val="A5"/>
          <w:rFonts w:ascii="Times New Roman" w:hAnsi="Times New Roman"/>
        </w:rPr>
        <w:t xml:space="preserve"> is a registered trademark of Learning Sciences International®</w:t>
      </w:r>
    </w:p>
    <w:sectPr w:rsidR="00D06155" w:rsidRPr="00D06155" w:rsidSect="00D06155"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Myriad Pro 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42B6"/>
    <w:rsid w:val="000829D6"/>
    <w:rsid w:val="00444878"/>
    <w:rsid w:val="006242B6"/>
    <w:rsid w:val="007B552A"/>
    <w:rsid w:val="00D0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42B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2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A4"/>
    <w:rsid w:val="006242B6"/>
    <w:rPr>
      <w:rFonts w:cs="Myriad Pro"/>
      <w:color w:val="000000"/>
      <w:sz w:val="20"/>
      <w:szCs w:val="20"/>
    </w:rPr>
  </w:style>
  <w:style w:type="paragraph" w:customStyle="1" w:styleId="Pa7">
    <w:name w:val="Pa7"/>
    <w:basedOn w:val="Normal"/>
    <w:next w:val="Normal"/>
    <w:rsid w:val="00D06155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character" w:customStyle="1" w:styleId="A5">
    <w:name w:val="A5"/>
    <w:rsid w:val="00D06155"/>
    <w:rPr>
      <w:rFonts w:ascii="Myriad Pro Cond" w:hAnsi="Myriad Pro Cond" w:cs="Myriad Pro Cond"/>
      <w:color w:val="000000"/>
      <w:sz w:val="22"/>
      <w:szCs w:val="22"/>
    </w:rPr>
  </w:style>
  <w:style w:type="paragraph" w:customStyle="1" w:styleId="Pa2">
    <w:name w:val="Pa2"/>
    <w:basedOn w:val="Normal"/>
    <w:next w:val="Normal"/>
    <w:rsid w:val="00D06155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character" w:customStyle="1" w:styleId="A21">
    <w:name w:val="A2+1"/>
    <w:rsid w:val="00D06155"/>
    <w:rPr>
      <w:rFonts w:cs="Myriad Pro"/>
      <w:b/>
      <w:bCs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 Key Strategies Identified by Research</vt:lpstr>
    </vt:vector>
  </TitlesOfParts>
  <Company>Watry and Watry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 Key Strategies Identified by Research</dc:title>
  <dc:creator>Home Computing</dc:creator>
  <cp:lastModifiedBy>michael rospenda</cp:lastModifiedBy>
  <cp:revision>2</cp:revision>
  <dcterms:created xsi:type="dcterms:W3CDTF">2011-08-02T17:00:00Z</dcterms:created>
  <dcterms:modified xsi:type="dcterms:W3CDTF">2011-08-02T17:00:00Z</dcterms:modified>
</cp:coreProperties>
</file>